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GTJC-BLGS-LYLX-CQYB(TSP)-015</w:t>
      </w:r>
    </w:p>
    <w:p>
      <w:pPr>
        <w:jc w:val="right"/>
        <w:rPr>
          <w:sz w:val="24"/>
        </w:rPr>
      </w:pPr>
    </w:p>
    <w:p>
      <w:pPr>
        <w:jc w:val="right"/>
        <w:rPr>
          <w:sz w:val="24"/>
        </w:rPr>
      </w:pPr>
    </w:p>
    <w:p>
      <w:pPr>
        <w:ind w:firstLine="560"/>
        <w:rPr>
          <w:snapToGrid w:val="0"/>
          <w:color w:val="FF0000"/>
          <w:kern w:val="0"/>
        </w:rPr>
      </w:pPr>
    </w:p>
    <w:p>
      <w:pPr>
        <w:ind w:firstLine="560"/>
        <w:rPr>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eastAsia="楷体_GB2312"/>
          <w:b/>
          <w:bCs/>
          <w:color w:val="000000"/>
          <w:sz w:val="44"/>
          <w:szCs w:val="44"/>
        </w:rPr>
      </w:pPr>
    </w:p>
    <w:p>
      <w:pPr>
        <w:adjustRightInd w:val="0"/>
        <w:snapToGrid w:val="0"/>
        <w:spacing w:before="120" w:beforeLines="50" w:after="120" w:afterLines="50"/>
        <w:jc w:val="center"/>
        <w:rPr>
          <w:color w:val="FF0000"/>
          <w:sz w:val="48"/>
        </w:rPr>
      </w:pPr>
      <w:r>
        <w:rPr>
          <w:b/>
          <w:bCs/>
          <w:spacing w:val="20"/>
          <w:sz w:val="72"/>
          <w:szCs w:val="72"/>
        </w:rPr>
        <w:t>TSP超前地质预报报告</w:t>
      </w:r>
    </w:p>
    <w:p>
      <w:pPr>
        <w:jc w:val="center"/>
        <w:rPr>
          <w:color w:val="FF0000"/>
          <w:sz w:val="48"/>
        </w:rPr>
      </w:pPr>
    </w:p>
    <w:p>
      <w:pPr>
        <w:jc w:val="center"/>
        <w:rPr>
          <w:color w:val="FF0000"/>
          <w:sz w:val="48"/>
        </w:rPr>
      </w:pPr>
    </w:p>
    <w:p>
      <w:pPr>
        <w:jc w:val="center"/>
        <w:rPr>
          <w:color w:val="FF0000"/>
          <w:sz w:val="48"/>
        </w:rPr>
      </w:pPr>
    </w:p>
    <w:p>
      <w:pPr>
        <w:jc w:val="center"/>
        <w:rPr>
          <w:color w:val="FF0000"/>
          <w:sz w:val="48"/>
        </w:rPr>
      </w:pPr>
    </w:p>
    <w:p>
      <w:pPr>
        <w:pStyle w:val="32"/>
        <w:ind w:firstLine="1205" w:firstLineChars="375"/>
        <w:rPr>
          <w:rFonts w:eastAsia="宋体"/>
        </w:rPr>
      </w:pPr>
      <w:r>
        <w:rPr>
          <w:rFonts w:eastAsia="宋体"/>
        </w:rPr>
        <w:t>合 同 段：</w:t>
      </w:r>
      <w:r>
        <w:rPr>
          <w:rFonts w:eastAsia="宋体"/>
          <w:b w:val="0"/>
          <w:bCs w:val="0"/>
          <w:u w:val="single"/>
        </w:rPr>
        <w:t xml:space="preserve">       土建</w:t>
      </w:r>
      <w:r>
        <w:rPr>
          <w:rFonts w:eastAsia="宋体"/>
          <w:b w:val="0"/>
          <w:szCs w:val="32"/>
          <w:u w:val="single"/>
        </w:rPr>
        <w:t xml:space="preserve">S3合同段          </w:t>
      </w:r>
      <w:r>
        <w:rPr>
          <w:rFonts w:eastAsia="宋体"/>
          <w:b w:val="0"/>
          <w:szCs w:val="32"/>
          <w:u w:val="single"/>
        </w:rPr>
        <w:tab/>
      </w:r>
    </w:p>
    <w:p>
      <w:pPr>
        <w:pStyle w:val="32"/>
        <w:ind w:firstLine="1205" w:firstLineChars="375"/>
        <w:rPr>
          <w:rFonts w:eastAsia="宋体"/>
          <w:b w:val="0"/>
          <w:sz w:val="30"/>
          <w:u w:val="single"/>
        </w:rPr>
      </w:pPr>
      <w:r>
        <w:rPr>
          <w:rFonts w:eastAsia="宋体"/>
        </w:rPr>
        <w:t>隧道名称：</w:t>
      </w:r>
      <w:r>
        <w:rPr>
          <w:rFonts w:eastAsia="宋体"/>
          <w:b w:val="0"/>
          <w:bCs w:val="0"/>
          <w:u w:val="single"/>
        </w:rPr>
        <w:t xml:space="preserve">    老营特长隧道泸水端斜井      </w:t>
      </w:r>
      <w:r>
        <w:rPr>
          <w:rFonts w:eastAsia="宋体"/>
          <w:b w:val="0"/>
          <w:bCs w:val="0"/>
          <w:u w:val="single"/>
        </w:rPr>
        <w:tab/>
      </w:r>
    </w:p>
    <w:p>
      <w:pPr>
        <w:pStyle w:val="32"/>
        <w:ind w:firstLine="1205" w:firstLineChars="375"/>
        <w:rPr>
          <w:rFonts w:eastAsia="宋体"/>
          <w:b w:val="0"/>
          <w:szCs w:val="32"/>
          <w:u w:val="single"/>
        </w:rPr>
      </w:pPr>
      <w:r>
        <w:rPr>
          <w:rFonts w:eastAsia="宋体"/>
        </w:rPr>
        <w:t>预报里程：</w:t>
      </w:r>
      <w:r>
        <w:rPr>
          <w:rFonts w:eastAsia="宋体"/>
          <w:b w:val="0"/>
          <w:bCs w:val="0"/>
          <w:u w:val="single"/>
        </w:rPr>
        <w:t xml:space="preserve">    K0+243～K0+123（120m）    </w:t>
      </w:r>
      <w:r>
        <w:rPr>
          <w:rFonts w:eastAsia="宋体"/>
          <w:b w:val="0"/>
          <w:bCs w:val="0"/>
          <w:u w:val="single"/>
        </w:rPr>
        <w:tab/>
      </w:r>
    </w:p>
    <w:p>
      <w:pPr>
        <w:pStyle w:val="32"/>
        <w:ind w:firstLine="1205" w:firstLineChars="375"/>
        <w:rPr>
          <w:rFonts w:eastAsia="宋体"/>
          <w:sz w:val="48"/>
          <w:szCs w:val="24"/>
        </w:rPr>
      </w:pPr>
      <w:r>
        <w:rPr>
          <w:rFonts w:eastAsia="宋体"/>
          <w:szCs w:val="32"/>
        </w:rPr>
        <w:t>预报日期：</w:t>
      </w:r>
      <w:r>
        <w:rPr>
          <w:rFonts w:eastAsia="宋体"/>
          <w:szCs w:val="32"/>
          <w:u w:val="single"/>
        </w:rPr>
        <w:t xml:space="preserve">       </w:t>
      </w:r>
      <w:r>
        <w:rPr>
          <w:rFonts w:eastAsia="宋体"/>
          <w:b w:val="0"/>
          <w:bCs w:val="0"/>
          <w:szCs w:val="32"/>
          <w:u w:val="single"/>
        </w:rPr>
        <w:t xml:space="preserve">2018年5月25日     </w:t>
      </w:r>
      <w:r>
        <w:rPr>
          <w:rFonts w:eastAsia="宋体"/>
          <w:b w:val="0"/>
          <w:bCs w:val="0"/>
          <w:szCs w:val="32"/>
          <w:u w:val="single"/>
        </w:rPr>
        <w:tab/>
      </w:r>
      <w:r>
        <w:rPr>
          <w:rFonts w:eastAsia="宋体"/>
          <w:b w:val="0"/>
          <w:bCs w:val="0"/>
          <w:szCs w:val="32"/>
          <w:u w:val="single"/>
        </w:rPr>
        <w:t xml:space="preserve">  </w:t>
      </w:r>
      <w:r>
        <w:rPr>
          <w:rFonts w:eastAsia="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widowControl/>
        <w:jc w:val="center"/>
        <w:rPr>
          <w:b/>
          <w:bCs/>
          <w:sz w:val="36"/>
          <w:szCs w:val="36"/>
        </w:rPr>
      </w:pPr>
      <w:r>
        <w:rPr>
          <w:b/>
          <w:bCs/>
          <w:sz w:val="36"/>
          <w:szCs w:val="36"/>
        </w:rPr>
        <w:t>云南保泸高速公路隧道检测第二合同项目经理部</w:t>
      </w:r>
    </w:p>
    <w:p>
      <w:pPr>
        <w:spacing w:line="360" w:lineRule="auto"/>
        <w:rPr>
          <w:rFonts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1、本报告无红色“云南公投工程检测有限公司云南保泸高速公路隧道检测第二合同项目经理部”专用章无效。</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5、若对报告有异议或疑问，应于收到报告之日起十五日内向检测单位书面提出。</w:t>
      </w:r>
    </w:p>
    <w:p>
      <w:pPr>
        <w:spacing w:line="360" w:lineRule="auto"/>
        <w:rPr>
          <w:rFonts w:eastAsia="华文仿宋"/>
          <w:sz w:val="28"/>
          <w:szCs w:val="28"/>
        </w:rPr>
      </w:pPr>
      <w:r>
        <w:rPr>
          <w:rFonts w:eastAsia="华文仿宋"/>
          <w:sz w:val="28"/>
          <w:szCs w:val="28"/>
        </w:rPr>
        <w:t>6、本报告仅对检测项目负责。</w:t>
      </w: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p>
    <w:p>
      <w:pPr>
        <w:spacing w:line="480" w:lineRule="auto"/>
        <w:rPr>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b/>
          <w:bCs/>
          <w:sz w:val="36"/>
          <w:szCs w:val="36"/>
        </w:rPr>
        <w:t xml:space="preserve">   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单位地址：云南省昆明市民航路495号</w:t>
      </w:r>
    </w:p>
    <w:p>
      <w:pPr>
        <w:ind w:firstLine="1088" w:firstLineChars="400"/>
        <w:jc w:val="left"/>
        <w:rPr>
          <w:snapToGrid w:val="0"/>
          <w:spacing w:val="16"/>
          <w:kern w:val="0"/>
          <w:sz w:val="24"/>
        </w:rPr>
      </w:pPr>
      <w:r>
        <w:rPr>
          <w:snapToGrid w:val="0"/>
          <w:spacing w:val="16"/>
          <w:kern w:val="0"/>
          <w:sz w:val="24"/>
        </w:rPr>
        <w:t xml:space="preserve">传 </w:t>
      </w:r>
      <w:r>
        <w:rPr>
          <w:snapToGrid w:val="0"/>
          <w:spacing w:val="16"/>
          <w:kern w:val="0"/>
          <w:sz w:val="24"/>
        </w:rPr>
        <w:tab/>
      </w:r>
      <w:r>
        <w:rPr>
          <w:snapToGrid w:val="0"/>
          <w:spacing w:val="16"/>
          <w:kern w:val="0"/>
          <w:sz w:val="24"/>
        </w:rPr>
        <w:t xml:space="preserve">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color w:val="FF0000"/>
          <w:sz w:val="28"/>
          <w:szCs w:val="28"/>
        </w:rPr>
      </w:pPr>
    </w:p>
    <w:p>
      <w:pPr>
        <w:wordWrap w:val="0"/>
        <w:ind w:right="1120"/>
        <w:rPr>
          <w:color w:val="FF0000"/>
          <w:sz w:val="28"/>
          <w:szCs w:val="28"/>
        </w:rPr>
      </w:pPr>
      <w:r>
        <w:rPr>
          <w:color w:val="FF0000"/>
          <w:sz w:val="28"/>
          <w:szCs w:val="28"/>
        </w:rPr>
        <w:t xml:space="preserve"> </w:t>
      </w:r>
    </w:p>
    <w:p>
      <w:pPr>
        <w:wordWrap w:val="0"/>
        <w:ind w:right="1120"/>
        <w:rPr>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sz w:val="44"/>
          <w:szCs w:val="44"/>
        </w:rPr>
      </w:pPr>
      <w:r>
        <w:rPr>
          <w:sz w:val="44"/>
          <w:szCs w:val="44"/>
        </w:rPr>
        <w:t>泸水端斜井</w:t>
      </w:r>
    </w:p>
    <w:p>
      <w:pPr>
        <w:spacing w:line="288" w:lineRule="auto"/>
        <w:rPr>
          <w:rFonts w:eastAsia="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b/>
          <w:bCs/>
          <w:sz w:val="32"/>
          <w:szCs w:val="32"/>
        </w:rPr>
      </w:pPr>
    </w:p>
    <w:p>
      <w:pPr>
        <w:spacing w:line="360" w:lineRule="auto"/>
        <w:rPr>
          <w:b/>
          <w:bCs/>
          <w:sz w:val="32"/>
          <w:szCs w:val="32"/>
        </w:rPr>
      </w:pPr>
    </w:p>
    <w:p>
      <w:pPr>
        <w:spacing w:line="720" w:lineRule="auto"/>
        <w:rPr>
          <w:b/>
          <w:bCs/>
          <w:sz w:val="32"/>
          <w:szCs w:val="32"/>
          <w:u w:val="single"/>
        </w:rPr>
      </w:pPr>
      <w:r>
        <w:rPr>
          <w:b/>
          <w:bCs/>
          <w:sz w:val="32"/>
          <w:szCs w:val="32"/>
        </w:rPr>
        <w:t xml:space="preserve">        主要检测人：</w:t>
      </w:r>
    </w:p>
    <w:p>
      <w:pPr>
        <w:spacing w:line="720" w:lineRule="auto"/>
        <w:rPr>
          <w:b/>
          <w:bCs/>
          <w:sz w:val="32"/>
          <w:szCs w:val="32"/>
        </w:rPr>
      </w:pPr>
      <w:r>
        <w:rPr>
          <w:b/>
          <w:bCs/>
          <w:sz w:val="32"/>
          <w:szCs w:val="32"/>
        </w:rPr>
        <w:t xml:space="preserve">        报告编写人：</w:t>
      </w:r>
    </w:p>
    <w:p>
      <w:pPr>
        <w:spacing w:line="720" w:lineRule="auto"/>
        <w:rPr>
          <w:b/>
          <w:bCs/>
          <w:sz w:val="32"/>
          <w:szCs w:val="32"/>
        </w:rPr>
      </w:pPr>
      <w:r>
        <w:rPr>
          <w:b/>
          <w:bCs/>
          <w:sz w:val="32"/>
          <w:szCs w:val="32"/>
        </w:rPr>
        <w:t xml:space="preserve">        报告审核人：</w:t>
      </w:r>
    </w:p>
    <w:p>
      <w:pPr>
        <w:spacing w:line="720" w:lineRule="auto"/>
        <w:rPr>
          <w:b/>
          <w:bCs/>
          <w:sz w:val="32"/>
          <w:szCs w:val="32"/>
        </w:rPr>
      </w:pPr>
      <w:r>
        <w:rPr>
          <w:b/>
          <w:bCs/>
          <w:sz w:val="32"/>
          <w:szCs w:val="32"/>
        </w:rPr>
        <w:t xml:space="preserve">        报告批准人：</w:t>
      </w:r>
    </w:p>
    <w:p>
      <w:pPr>
        <w:spacing w:line="360" w:lineRule="auto"/>
        <w:rPr>
          <w:b/>
          <w:bCs/>
          <w:sz w:val="32"/>
          <w:szCs w:val="32"/>
        </w:rPr>
      </w:pPr>
      <w:r>
        <w:rPr>
          <w:b/>
          <w:bCs/>
          <w:sz w:val="32"/>
          <w:szCs w:val="32"/>
        </w:rPr>
        <w:t xml:space="preserve">           </w:t>
      </w:r>
    </w:p>
    <w:p>
      <w:pPr>
        <w:rPr>
          <w:b/>
          <w:bCs/>
          <w:color w:val="FF0000"/>
          <w:sz w:val="28"/>
          <w:szCs w:val="28"/>
          <w:u w:val="single"/>
        </w:rPr>
      </w:pPr>
    </w:p>
    <w:p>
      <w:pPr>
        <w:spacing w:line="360" w:lineRule="auto"/>
        <w:jc w:val="center"/>
        <w:rPr>
          <w:sz w:val="32"/>
          <w:szCs w:val="32"/>
        </w:rPr>
      </w:pPr>
      <w:r>
        <w:rPr>
          <w:sz w:val="32"/>
          <w:szCs w:val="32"/>
        </w:rPr>
        <w:t>检测单位：云南公投工程检测有限公司云南保泸高速公路</w:t>
      </w:r>
    </w:p>
    <w:p>
      <w:pPr>
        <w:spacing w:line="360" w:lineRule="auto"/>
        <w:ind w:firstLine="2080" w:firstLineChars="650"/>
        <w:rPr>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sz w:val="28"/>
          <w:szCs w:val="28"/>
        </w:rPr>
      </w:pPr>
      <w:r>
        <w:rPr>
          <w:sz w:val="28"/>
          <w:szCs w:val="28"/>
        </w:rPr>
        <w:t>2018年5月25日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1  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2  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3  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4  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1设备仪器（TSP 203）</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3 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6  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7  检测成果</w:t>
      </w:r>
      <w:r>
        <w:rPr>
          <w:lang/>
        </w:rPr>
        <w:tab/>
      </w:r>
      <w:r>
        <w:rPr>
          <w:lang/>
        </w:rPr>
        <w:fldChar w:fldCharType="begin"/>
      </w:r>
      <w:r>
        <w:rPr>
          <w:lang/>
        </w:rPr>
        <w:instrText xml:space="preserve"> PAGEREF _Toc463614827 \h </w:instrText>
      </w:r>
      <w:r>
        <w:rPr>
          <w:lang/>
        </w:rPr>
        <w:fldChar w:fldCharType="separate"/>
      </w:r>
      <w:r>
        <w:rPr>
          <w:lang/>
        </w:rPr>
        <w:t>6</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6</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8  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eastAsia="黑体"/>
          <w:bCs/>
          <w:sz w:val="48"/>
          <w:szCs w:val="48"/>
        </w:rPr>
      </w:pPr>
      <w:r>
        <w:rPr>
          <w:rFonts w:eastAsia="黑体"/>
          <w:bCs/>
          <w:sz w:val="48"/>
          <w:szCs w:val="48"/>
        </w:rPr>
        <w:t>云南保山至泸水高速公路老营特长隧道</w:t>
      </w:r>
    </w:p>
    <w:p>
      <w:pPr>
        <w:jc w:val="center"/>
        <w:rPr>
          <w:rFonts w:eastAsia="黑体"/>
          <w:bCs/>
          <w:sz w:val="48"/>
          <w:szCs w:val="48"/>
        </w:rPr>
      </w:pPr>
      <w:r>
        <w:rPr>
          <w:rFonts w:eastAsia="黑体"/>
          <w:bCs/>
          <w:sz w:val="48"/>
          <w:szCs w:val="48"/>
        </w:rPr>
        <w:t>泸水端斜井TSP超前地质预报报告</w:t>
      </w:r>
    </w:p>
    <w:p>
      <w:pPr>
        <w:pStyle w:val="2"/>
        <w:spacing w:before="100" w:beforeAutospacing="1"/>
        <w:rPr>
          <w:rFonts w:eastAsia="黑体"/>
          <w:sz w:val="30"/>
          <w:szCs w:val="30"/>
        </w:rPr>
      </w:pPr>
      <w:bookmarkStart w:id="1" w:name="_Toc463614818"/>
      <w:r>
        <w:rPr>
          <w:rFonts w:eastAsia="黑体"/>
          <w:sz w:val="30"/>
          <w:szCs w:val="30"/>
        </w:rPr>
        <w:t>1  工程概况</w:t>
      </w:r>
      <w:bookmarkEnd w:id="0"/>
      <w:bookmarkEnd w:id="1"/>
    </w:p>
    <w:p>
      <w:pPr>
        <w:spacing w:line="360" w:lineRule="auto"/>
        <w:ind w:firstLine="480" w:firstLineChars="200"/>
        <w:rPr>
          <w:sz w:val="24"/>
        </w:rPr>
      </w:pPr>
      <w:bookmarkStart w:id="2" w:name="_Toc217880287"/>
      <w:bookmarkStart w:id="3" w:name="_Toc522357858"/>
      <w:bookmarkStart w:id="4" w:name="_Toc163412314"/>
      <w:r>
        <w:rPr>
          <w:sz w:val="24"/>
        </w:rPr>
        <w:t>云南保山至泸水高速公路地处云南省西北部，路线走向总体为由东向西北方向布设。路线起于保山市隆阳区老营，经过隆阳区瓦房乡、怒江州泸水县上江乡，止于怒江州泸水县六库镇。</w:t>
      </w:r>
    </w:p>
    <w:p>
      <w:pPr>
        <w:spacing w:line="360" w:lineRule="auto"/>
        <w:ind w:firstLine="480" w:firstLineChars="200"/>
        <w:rPr>
          <w:sz w:val="24"/>
        </w:rPr>
      </w:pPr>
      <w:r>
        <w:rPr>
          <w:sz w:val="24"/>
        </w:rPr>
        <w:t>老营特长隧道垂直横穿怒山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color w:val="000000"/>
          <w:sz w:val="24"/>
        </w:rPr>
        <w:t>我公司于</w:t>
      </w:r>
      <w:r>
        <w:rPr>
          <w:color w:val="000000"/>
          <w:sz w:val="24"/>
          <w:u w:val="none" w:color="FF0000"/>
        </w:rPr>
        <w:t>2018年5月25日对泸水端斜井K0+243掌子面及前方</w:t>
      </w:r>
      <w:r>
        <w:rPr>
          <w:sz w:val="24"/>
          <w:u w:val="none" w:color="FF0000"/>
        </w:rPr>
        <w:t>120</w:t>
      </w:r>
      <w:r>
        <w:rPr>
          <w:color w:val="000000"/>
          <w:sz w:val="24"/>
          <w:u w:val="none" w:color="FF0000"/>
        </w:rPr>
        <w:t>m范围内围岩情况进行TSP法探测。</w:t>
      </w:r>
      <w:r>
        <w:rPr>
          <w:sz w:val="24"/>
          <w:u w:val="none" w:color="FF0000"/>
        </w:rPr>
        <w:t>本次预报里程段为K0+243～K0+123，长120m，</w:t>
      </w:r>
      <w:r>
        <w:rPr>
          <w:color w:val="000000"/>
          <w:sz w:val="24"/>
          <w:u w:val="none" w:color="FF0000"/>
        </w:rPr>
        <w:t>泸水端斜井</w:t>
      </w:r>
      <w:r>
        <w:rPr>
          <w:sz w:val="24"/>
          <w:u w:val="none" w:color="FF0000"/>
        </w:rPr>
        <w:t>累计预报(TSP)长度为1693m。</w:t>
      </w:r>
      <w:r>
        <w:rPr>
          <w:sz w:val="24"/>
        </w:rPr>
        <w:t>隧道围岩设计级别划分见表1：</w:t>
      </w:r>
    </w:p>
    <w:p>
      <w:pPr>
        <w:spacing w:line="360" w:lineRule="auto"/>
        <w:jc w:val="center"/>
        <w:rPr>
          <w:b/>
          <w:sz w:val="24"/>
        </w:rPr>
      </w:pPr>
      <w:r>
        <w:rPr>
          <w:b/>
          <w:sz w:val="24"/>
        </w:rPr>
        <w:t>表1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eastAsia="黑体"/>
          <w:sz w:val="30"/>
          <w:szCs w:val="30"/>
        </w:rPr>
        <w:t>2  检测目的</w:t>
      </w:r>
      <w:bookmarkEnd w:id="5"/>
    </w:p>
    <w:p>
      <w:pPr>
        <w:spacing w:line="360" w:lineRule="auto"/>
        <w:ind w:firstLine="480" w:firstLineChars="200"/>
        <w:rPr>
          <w:sz w:val="24"/>
        </w:rPr>
      </w:pPr>
      <w:bookmarkStart w:id="6" w:name="_Toc343165939"/>
      <w:r>
        <w:rPr>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eastAsia="黑体"/>
          <w:sz w:val="30"/>
          <w:szCs w:val="30"/>
        </w:rPr>
        <w:t>3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云南保泸高速老营特长隧道设计、合同文件。</w:t>
      </w:r>
      <w:bookmarkStart w:id="8" w:name="_Toc343165940"/>
    </w:p>
    <w:p>
      <w:pPr>
        <w:pStyle w:val="2"/>
        <w:spacing w:before="0"/>
        <w:rPr>
          <w:rFonts w:eastAsia="黑体"/>
          <w:sz w:val="30"/>
          <w:szCs w:val="30"/>
        </w:rPr>
      </w:pPr>
      <w:bookmarkStart w:id="9" w:name="_Toc463614821"/>
      <w:r>
        <w:rPr>
          <w:rFonts w:eastAsia="黑体"/>
          <w:sz w:val="30"/>
          <w:szCs w:val="30"/>
        </w:rPr>
        <w:t>4  工程地质概况</w:t>
      </w:r>
      <w:bookmarkEnd w:id="9"/>
    </w:p>
    <w:bookmarkEnd w:id="2"/>
    <w:bookmarkEnd w:id="8"/>
    <w:p>
      <w:pPr>
        <w:spacing w:line="360" w:lineRule="auto"/>
        <w:ind w:firstLine="480" w:firstLineChars="200"/>
        <w:jc w:val="left"/>
        <w:rPr>
          <w:sz w:val="24"/>
          <w:u w:val="none" w:color="FF0000"/>
        </w:rPr>
      </w:pPr>
      <w:r>
        <w:rPr>
          <w:sz w:val="24"/>
        </w:rPr>
        <w:t>K0+243</w:t>
      </w:r>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sz w:val="24"/>
        </w:rPr>
        <w:t>掌子面为石灰岩，深灰色，中等风化，为较坚硬岩，中厚层结构，局部裂隙块状结构，节理裂隙发育，裂隙间结合力一般，岩体较破碎；含基岩裂隙水，呈渗水状～点滴状出水，围岩自稳能力较差。</w:t>
      </w:r>
    </w:p>
    <w:p>
      <w:pPr>
        <w:jc w:val="center"/>
      </w:pPr>
      <w:r>
        <w:pict>
          <v:shape id="_x0000_i1025" o:spt="75" type="#_x0000_t75" style="height:269.2pt;width:358.95pt;" filled="f" stroked="f" coordsize="21600,21600">
            <v:path/>
            <v:fill on="f" focussize="0,0"/>
            <v:stroke on="f"/>
            <v:imagedata r:id="rId16" o:title="IMG_0060"/>
            <o:lock v:ext="edit" aspectratio="t"/>
            <w10:wrap type="none"/>
            <w10:anchorlock/>
          </v:shape>
        </w:pict>
      </w:r>
    </w:p>
    <w:p>
      <w:pPr>
        <w:spacing w:line="360" w:lineRule="auto"/>
        <w:ind w:firstLine="482" w:firstLineChars="200"/>
        <w:jc w:val="center"/>
        <w:rPr>
          <w:b/>
          <w:sz w:val="24"/>
        </w:rPr>
      </w:pPr>
      <w:r>
        <w:rPr>
          <w:b/>
          <w:sz w:val="24"/>
        </w:rPr>
        <w:t>图1  K0+243掌子面照片</w:t>
      </w:r>
    </w:p>
    <w:p>
      <w:pPr>
        <w:jc w:val="center"/>
      </w:pPr>
      <w:r>
        <w:pict>
          <v:shape id="_x0000_i1028" o:spt="75" type="#_x0000_t75" style="height:269.2pt;width:358.95pt;" filled="f" stroked="f" coordsize="21600,21600">
            <v:path/>
            <v:fill on="f" focussize="0,0"/>
            <v:stroke on="f"/>
            <v:imagedata r:id="rId17" o:title="IMG_0058"/>
            <o:lock v:ext="edit" aspectratio="t"/>
            <w10:wrap type="none"/>
            <w10:anchorlock/>
          </v:shape>
        </w:pict>
      </w:r>
    </w:p>
    <w:p>
      <w:pPr>
        <w:spacing w:line="360" w:lineRule="auto"/>
        <w:ind w:firstLine="482" w:firstLineChars="200"/>
        <w:jc w:val="center"/>
        <w:rPr>
          <w:b/>
          <w:sz w:val="24"/>
        </w:rPr>
      </w:pPr>
      <w:r>
        <w:rPr>
          <w:b/>
          <w:sz w:val="24"/>
        </w:rPr>
        <w:t>图2  掌子面右侧围岩照片</w:t>
      </w:r>
    </w:p>
    <w:p>
      <w:pPr>
        <w:pStyle w:val="2"/>
        <w:spacing w:before="0"/>
        <w:rPr>
          <w:rFonts w:eastAsia="黑体"/>
          <w:sz w:val="30"/>
          <w:szCs w:val="30"/>
        </w:rPr>
      </w:pPr>
      <w:bookmarkStart w:id="22" w:name="_Toc463614822"/>
      <w:r>
        <w:rPr>
          <w:rFonts w:eastAsia="黑体"/>
          <w:sz w:val="30"/>
          <w:szCs w:val="30"/>
        </w:rPr>
        <w:t>5</w:t>
      </w:r>
      <w:bookmarkEnd w:id="10"/>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详见表2。</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ascii="Times New Roman" w:hAnsi="Times New Roman" w:eastAsia="宋体"/>
              </w:rPr>
              <w:t>隧道超前地质预报系统</w:t>
            </w:r>
          </w:p>
        </w:tc>
        <w:tc>
          <w:tcPr>
            <w:tcW w:w="2459" w:type="dxa"/>
            <w:noWrap w:val="0"/>
            <w:vAlign w:val="center"/>
          </w:tcPr>
          <w:p>
            <w:pPr>
              <w:spacing w:before="40" w:after="40"/>
              <w:jc w:val="center"/>
              <w:rPr>
                <w:szCs w:val="21"/>
              </w:rPr>
            </w:pPr>
            <w:r>
              <w:rPr>
                <w:szCs w:val="21"/>
              </w:rPr>
              <w:t>TSP203</w:t>
            </w:r>
          </w:p>
        </w:tc>
        <w:tc>
          <w:tcPr>
            <w:tcW w:w="2394" w:type="dxa"/>
            <w:noWrap w:val="0"/>
            <w:vAlign w:val="center"/>
          </w:tcPr>
          <w:p>
            <w:pPr>
              <w:spacing w:before="40" w:after="40"/>
              <w:jc w:val="center"/>
              <w:rPr>
                <w:szCs w:val="21"/>
              </w:rPr>
            </w:pPr>
            <w:r>
              <w:rPr>
                <w:szCs w:val="21"/>
              </w:rPr>
              <w:t>GL02130002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 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9"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6"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 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  G</w:t>
      </w:r>
      <w:r>
        <w:rPr>
          <w:sz w:val="24"/>
          <w:vertAlign w:val="subscript"/>
        </w:rPr>
        <w:t>Z</w:t>
      </w:r>
      <w:r>
        <w:rPr>
          <w:sz w:val="24"/>
        </w:rPr>
        <w:t>=ρv</w:t>
      </w:r>
      <w:r>
        <w:rPr>
          <w:sz w:val="24"/>
          <w:vertAlign w:val="subscript"/>
        </w:rPr>
        <w:t>s</w:t>
      </w:r>
      <w:r>
        <w:rPr>
          <w:sz w:val="24"/>
          <w:vertAlign w:val="superscript"/>
        </w:rPr>
        <w:t>2</w:t>
      </w:r>
      <w:r>
        <w:rPr>
          <w:sz w:val="24"/>
        </w:rPr>
        <w:t xml:space="preserve"> 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sz w:val="24"/>
        </w:rPr>
        <w:t>（2）资料解释</w:t>
      </w:r>
    </w:p>
    <w:p>
      <w:pPr>
        <w:spacing w:line="360" w:lineRule="auto"/>
        <w:ind w:firstLine="480" w:firstLineChars="200"/>
        <w:rPr>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eastAsia="黑体"/>
          <w:sz w:val="30"/>
          <w:szCs w:val="30"/>
        </w:rPr>
      </w:pPr>
      <w:bookmarkStart w:id="27" w:name="_Toc463614826"/>
      <w:r>
        <w:rPr>
          <w:rFonts w:eastAsia="黑体"/>
          <w:sz w:val="30"/>
          <w:szCs w:val="30"/>
        </w:rPr>
        <w:t>6  工作布置</w:t>
      </w:r>
      <w:bookmarkEnd w:id="27"/>
    </w:p>
    <w:p>
      <w:pPr>
        <w:autoSpaceDE w:val="0"/>
        <w:autoSpaceDN w:val="0"/>
        <w:adjustRightInd w:val="0"/>
        <w:spacing w:line="360" w:lineRule="auto"/>
        <w:ind w:firstLine="420"/>
        <w:jc w:val="left"/>
        <w:rPr>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0+306墙位置布置一个地震波信息接收孔，孔径为50mm，孔深1.5m。在K0+289.6～K0+259段的左边墙位置，按约1.5m的间距布置20个激发孔，激发地震波，激发孔孔深约1.5m，孔径约45mm，孔向下倾斜约10º，每个激发孔装填的药量为100g。</w:t>
      </w:r>
    </w:p>
    <w:bookmarkEnd w:id="28"/>
    <w:bookmarkEnd w:id="29"/>
    <w:bookmarkEnd w:id="30"/>
    <w:bookmarkEnd w:id="31"/>
    <w:bookmarkEnd w:id="32"/>
    <w:bookmarkEnd w:id="33"/>
    <w:bookmarkEnd w:id="34"/>
    <w:bookmarkEnd w:id="35"/>
    <w:bookmarkEnd w:id="36"/>
    <w:bookmarkEnd w:id="37"/>
    <w:bookmarkEnd w:id="38"/>
    <w:p>
      <w:pPr>
        <w:pStyle w:val="2"/>
        <w:spacing w:before="0"/>
        <w:rPr>
          <w:rFonts w:eastAsia="黑体"/>
          <w:sz w:val="30"/>
          <w:szCs w:val="30"/>
        </w:rPr>
      </w:pPr>
      <w:bookmarkStart w:id="39" w:name="_Toc463614827"/>
      <w:r>
        <w:rPr>
          <w:rFonts w:eastAsia="黑体"/>
          <w:sz w:val="30"/>
          <w:szCs w:val="30"/>
        </w:rPr>
        <w:t>7  检测成果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 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pPr>
      <w:r>
        <w:pict>
          <v:shape id="_x0000_i1030" o:spt="75" type="#_x0000_t75" style="height:573.7pt;width:442.15pt;" filled="f" stroked="f" coordsize="21600,21600">
            <v:path/>
            <v:fill on="f" focussize="0,0"/>
            <v:stroke on="f"/>
            <v:imagedata r:id="rId20" cropright="5100f" cropbottom="3977f" o:title="图"/>
            <o:lock v:ext="edit" aspectratio="t"/>
            <w10:wrap type="none"/>
            <w10:anchorlock/>
          </v:shape>
        </w:pict>
      </w: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sz w:val="24"/>
        </w:rPr>
      </w:pPr>
      <w:r>
        <w:rPr>
          <w:sz w:val="24"/>
        </w:rPr>
        <w:t>通过数据分析得出围岩的物理力学如表3所示。</w:t>
      </w:r>
    </w:p>
    <w:p>
      <w:pPr>
        <w:spacing w:line="360" w:lineRule="auto"/>
        <w:jc w:val="center"/>
        <w:rPr>
          <w:b/>
          <w:sz w:val="24"/>
        </w:rPr>
      </w:pPr>
      <w:r>
        <w:rPr>
          <w:b/>
          <w:sz w:val="24"/>
        </w:rPr>
        <w:t>表3 围岩参数统计表</w:t>
      </w:r>
    </w:p>
    <w:tbl>
      <w:tblPr>
        <w:tblStyle w:val="18"/>
        <w:tblW w:w="9087" w:type="dxa"/>
        <w:tblInd w:w="93" w:type="dxa"/>
        <w:tblLayout w:type="autofit"/>
        <w:tblCellMar>
          <w:top w:w="0" w:type="dxa"/>
          <w:left w:w="108" w:type="dxa"/>
          <w:bottom w:w="0" w:type="dxa"/>
          <w:right w:w="108" w:type="dxa"/>
        </w:tblCellMar>
      </w:tblPr>
      <w:tblGrid>
        <w:gridCol w:w="440"/>
        <w:gridCol w:w="440"/>
        <w:gridCol w:w="440"/>
        <w:gridCol w:w="822"/>
        <w:gridCol w:w="850"/>
        <w:gridCol w:w="709"/>
        <w:gridCol w:w="850"/>
        <w:gridCol w:w="766"/>
        <w:gridCol w:w="794"/>
        <w:gridCol w:w="850"/>
        <w:gridCol w:w="709"/>
        <w:gridCol w:w="709"/>
        <w:gridCol w:w="708"/>
      </w:tblGrid>
      <w:tr>
        <w:tblPrEx>
          <w:tblCellMar>
            <w:top w:w="0" w:type="dxa"/>
            <w:left w:w="108" w:type="dxa"/>
            <w:bottom w:w="0" w:type="dxa"/>
            <w:right w:w="108" w:type="dxa"/>
          </w:tblCellMar>
        </w:tblPrEx>
        <w:trPr>
          <w:wBefore w:w="0" w:type="dxa"/>
          <w:wAfter w:w="0" w:type="dxa"/>
          <w:trHeight w:val="390" w:hRule="atLeast"/>
        </w:trPr>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检波器</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序号</w:t>
            </w:r>
          </w:p>
        </w:tc>
        <w:tc>
          <w:tcPr>
            <w:tcW w:w="44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波型</w:t>
            </w:r>
          </w:p>
        </w:tc>
        <w:tc>
          <w:tcPr>
            <w:tcW w:w="822"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里 程</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 xml:space="preserve">Vp </w:t>
            </w:r>
            <w:r>
              <w:rPr>
                <w:kern w:val="0"/>
                <w:sz w:val="18"/>
                <w:szCs w:val="18"/>
              </w:rPr>
              <w:t>(m/s)</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泊松比</w:t>
            </w:r>
          </w:p>
        </w:tc>
        <w:tc>
          <w:tcPr>
            <w:tcW w:w="76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密 度(g/cm</w:t>
            </w:r>
            <w:r>
              <w:rPr>
                <w:b/>
                <w:bCs/>
                <w:kern w:val="0"/>
                <w:sz w:val="18"/>
                <w:szCs w:val="18"/>
                <w:vertAlign w:val="superscript"/>
              </w:rPr>
              <w:t>3</w:t>
            </w:r>
            <w:r>
              <w:rPr>
                <w:b/>
                <w:bCs/>
                <w:kern w:val="0"/>
                <w:sz w:val="18"/>
                <w:szCs w:val="18"/>
              </w:rPr>
              <w:t>)</w:t>
            </w:r>
          </w:p>
        </w:tc>
        <w:tc>
          <w:tcPr>
            <w:tcW w:w="79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切变模量</w:t>
            </w:r>
            <w:r>
              <w:rPr>
                <w:kern w:val="0"/>
                <w:sz w:val="18"/>
                <w:szCs w:val="18"/>
              </w:rPr>
              <w:t>(GPa)</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拉梅常数</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体变模量</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动</w:t>
            </w:r>
            <w:r>
              <w:rPr>
                <w:b/>
                <w:bCs/>
                <w:kern w:val="0"/>
                <w:sz w:val="18"/>
                <w:szCs w:val="18"/>
              </w:rPr>
              <w:t xml:space="preserve"> </w:t>
            </w:r>
            <w:r>
              <w:rPr>
                <w:kern w:val="0"/>
                <w:sz w:val="18"/>
                <w:szCs w:val="18"/>
              </w:rPr>
              <w:t>(GPa)</w:t>
            </w:r>
          </w:p>
        </w:tc>
        <w:tc>
          <w:tcPr>
            <w:tcW w:w="708"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b/>
                <w:bCs/>
                <w:kern w:val="0"/>
                <w:sz w:val="18"/>
                <w:szCs w:val="18"/>
                <w:vertAlign w:val="subscript"/>
              </w:rPr>
              <w:t>静</w:t>
            </w:r>
            <w:r>
              <w:rPr>
                <w:b/>
                <w:bCs/>
                <w:kern w:val="0"/>
                <w:sz w:val="18"/>
                <w:szCs w:val="18"/>
              </w:rPr>
              <w:t xml:space="preserve">  </w:t>
            </w:r>
            <w:r>
              <w:rPr>
                <w:kern w:val="0"/>
                <w:sz w:val="18"/>
                <w:szCs w:val="18"/>
              </w:rPr>
              <w:t>(GPa)</w:t>
            </w:r>
          </w:p>
        </w:tc>
      </w:tr>
      <w:tr>
        <w:tblPrEx>
          <w:tblCellMar>
            <w:top w:w="0" w:type="dxa"/>
            <w:left w:w="108" w:type="dxa"/>
            <w:bottom w:w="0" w:type="dxa"/>
            <w:right w:w="108" w:type="dxa"/>
          </w:tblCellMar>
        </w:tblPrEx>
        <w:trPr>
          <w:wBefore w:w="0" w:type="dxa"/>
          <w:wAfter w:w="0" w:type="dxa"/>
          <w:trHeight w:val="585" w:hRule="atLeast"/>
        </w:trPr>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44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b/>
                <w:bCs/>
                <w:kern w:val="0"/>
                <w:sz w:val="18"/>
                <w:szCs w:val="18"/>
              </w:rPr>
            </w:pPr>
          </w:p>
        </w:tc>
        <w:tc>
          <w:tcPr>
            <w:tcW w:w="822" w:type="dxa"/>
            <w:tcBorders>
              <w:top w:val="nil"/>
              <w:left w:val="nil"/>
              <w:bottom w:val="single" w:color="auto" w:sz="4" w:space="0"/>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6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9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8"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-208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4,125</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2.43</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3</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-200</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4,098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1.75</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2.41</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35</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4</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-227</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4,072</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1.71</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2.42</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5</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-218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3,846</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1.79</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2.33</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28</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6</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-226</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3,775</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1.68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0.23</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2.35</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12</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31</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14</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7</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-209</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3,817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1.84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0.29</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2.31</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10</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27</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8</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-198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3,731</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2.33</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11</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29</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13</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9</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-199</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3,608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1.55</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0.14</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2.36</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5</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32</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16</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10</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-197</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3,573</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1.52</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0.12</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2.36</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13</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32</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16</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-207</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3,746</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1.66</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0.22</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2.35</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12</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9</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17</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31</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14</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12</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-199</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4,317</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1.88</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0.3</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2.43</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20</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28</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34</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13</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-175</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3,705</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1.52</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0.12</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2.4</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5</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35</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-169</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3,745</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1.51</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0.11</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2.41</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15</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37</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20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15</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-177</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4,017</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1.67</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0.22</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2.43</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11</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20</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37</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20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16</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-167</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4,002</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1.76</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0.26</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2.38</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12</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22</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32</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16</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bottom"/>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17</w:t>
            </w:r>
          </w:p>
        </w:tc>
        <w:tc>
          <w:tcPr>
            <w:tcW w:w="440" w:type="dxa"/>
            <w:tcBorders>
              <w:top w:val="nil"/>
              <w:left w:val="nil"/>
              <w:bottom w:val="single" w:color="auto" w:sz="4" w:space="0"/>
              <w:right w:val="single" w:color="auto" w:sz="4" w:space="0"/>
            </w:tcBorders>
            <w:shd w:val="clear" w:color="auto" w:fill="auto"/>
            <w:noWrap/>
            <w:vAlign w:val="bottom"/>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bottom"/>
          </w:tcPr>
          <w:p>
            <w:pPr>
              <w:jc w:val="center"/>
              <w:rPr>
                <w:sz w:val="24"/>
              </w:rPr>
            </w:pPr>
            <w:r>
              <w:t>-158</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4,437</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1.9</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0.31</w:t>
            </w:r>
          </w:p>
        </w:tc>
        <w:tc>
          <w:tcPr>
            <w:tcW w:w="766" w:type="dxa"/>
            <w:tcBorders>
              <w:top w:val="nil"/>
              <w:left w:val="nil"/>
              <w:bottom w:val="single" w:color="auto" w:sz="4" w:space="0"/>
              <w:right w:val="single" w:color="auto" w:sz="4" w:space="0"/>
            </w:tcBorders>
            <w:shd w:val="clear" w:color="auto" w:fill="auto"/>
            <w:noWrap/>
            <w:vAlign w:val="bottom"/>
          </w:tcPr>
          <w:p>
            <w:pPr>
              <w:jc w:val="center"/>
              <w:rPr>
                <w:sz w:val="24"/>
              </w:rPr>
            </w:pPr>
            <w:r>
              <w:t>2.45</w:t>
            </w:r>
          </w:p>
        </w:tc>
        <w:tc>
          <w:tcPr>
            <w:tcW w:w="794" w:type="dxa"/>
            <w:tcBorders>
              <w:top w:val="nil"/>
              <w:left w:val="nil"/>
              <w:bottom w:val="single" w:color="auto" w:sz="4" w:space="0"/>
              <w:right w:val="single" w:color="auto" w:sz="4" w:space="0"/>
            </w:tcBorders>
            <w:shd w:val="clear" w:color="auto" w:fill="auto"/>
            <w:noWrap/>
            <w:vAlign w:val="bottom"/>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bottom"/>
          </w:tcPr>
          <w:p>
            <w:pPr>
              <w:jc w:val="center"/>
              <w:rPr>
                <w:sz w:val="24"/>
              </w:rPr>
            </w:pPr>
            <w:r>
              <w:t>22</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30</w:t>
            </w:r>
          </w:p>
        </w:tc>
        <w:tc>
          <w:tcPr>
            <w:tcW w:w="709" w:type="dxa"/>
            <w:tcBorders>
              <w:top w:val="nil"/>
              <w:left w:val="nil"/>
              <w:bottom w:val="single" w:color="auto" w:sz="4" w:space="0"/>
              <w:right w:val="single" w:color="auto" w:sz="4" w:space="0"/>
            </w:tcBorders>
            <w:shd w:val="clear" w:color="auto" w:fill="auto"/>
            <w:noWrap/>
            <w:vAlign w:val="bottom"/>
          </w:tcPr>
          <w:p>
            <w:pPr>
              <w:jc w:val="center"/>
              <w:rPr>
                <w:sz w:val="24"/>
              </w:rPr>
            </w:pPr>
            <w:r>
              <w:t>36</w:t>
            </w:r>
          </w:p>
        </w:tc>
        <w:tc>
          <w:tcPr>
            <w:tcW w:w="708" w:type="dxa"/>
            <w:tcBorders>
              <w:top w:val="nil"/>
              <w:left w:val="nil"/>
              <w:bottom w:val="single" w:color="auto" w:sz="4" w:space="0"/>
              <w:right w:val="single" w:color="auto" w:sz="4" w:space="0"/>
            </w:tcBorders>
            <w:shd w:val="clear" w:color="auto" w:fill="auto"/>
            <w:noWrap/>
            <w:vAlign w:val="bottom"/>
          </w:tcPr>
          <w:p>
            <w:pPr>
              <w:jc w:val="center"/>
              <w:rPr>
                <w:color w:val="000000"/>
                <w:sz w:val="24"/>
              </w:rPr>
            </w:pPr>
            <w:r>
              <w:rPr>
                <w:color w:val="000000"/>
              </w:rPr>
              <w:t>19</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18</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-159</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4,228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1.84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0.29</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2.42</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26</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34</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18</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19</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-145</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4,512</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1.94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0.32</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2.46</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32</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20</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20</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-132</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4,808</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2.02</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0.34</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2.51</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29</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39</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39</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22</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-131</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4,297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0.27</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2.46</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26</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38</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21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22</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-126</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4,205</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2.45</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15</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24</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38</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21</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23</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-117</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4,419</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2.51</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16</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17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27</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43</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26</w:t>
            </w:r>
          </w:p>
        </w:tc>
      </w:tr>
      <w:tr>
        <w:tblPrEx>
          <w:tblCellMar>
            <w:top w:w="0" w:type="dxa"/>
            <w:left w:w="108" w:type="dxa"/>
            <w:bottom w:w="0" w:type="dxa"/>
            <w:right w:w="108" w:type="dxa"/>
          </w:tblCellMar>
        </w:tblPrEx>
        <w:trPr>
          <w:wBefore w:w="0" w:type="dxa"/>
          <w:wAfter w:w="0" w:type="dxa"/>
          <w:trHeight w:val="285" w:hRule="atLeast"/>
        </w:trPr>
        <w:tc>
          <w:tcPr>
            <w:tcW w:w="440" w:type="dxa"/>
            <w:tcBorders>
              <w:top w:val="nil"/>
              <w:left w:val="single" w:color="auto" w:sz="4" w:space="0"/>
              <w:bottom w:val="single" w:color="auto" w:sz="4" w:space="0"/>
              <w:right w:val="single" w:color="auto" w:sz="4" w:space="0"/>
            </w:tcBorders>
            <w:shd w:val="clear" w:color="auto" w:fill="auto"/>
            <w:noWrap/>
            <w:vAlign w:val="center"/>
          </w:tcPr>
          <w:p>
            <w:pPr>
              <w:jc w:val="center"/>
              <w:rPr>
                <w:sz w:val="24"/>
              </w:rPr>
            </w:pPr>
            <w:r>
              <w:t>1</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24</w:t>
            </w:r>
          </w:p>
        </w:tc>
        <w:tc>
          <w:tcPr>
            <w:tcW w:w="440" w:type="dxa"/>
            <w:tcBorders>
              <w:top w:val="nil"/>
              <w:left w:val="nil"/>
              <w:bottom w:val="single" w:color="auto" w:sz="4" w:space="0"/>
              <w:right w:val="single" w:color="auto" w:sz="4" w:space="0"/>
            </w:tcBorders>
            <w:shd w:val="clear" w:color="auto" w:fill="auto"/>
            <w:noWrap/>
            <w:vAlign w:val="center"/>
          </w:tcPr>
          <w:p>
            <w:pPr>
              <w:jc w:val="center"/>
              <w:rPr>
                <w:sz w:val="24"/>
              </w:rPr>
            </w:pPr>
            <w:r>
              <w:t>P</w:t>
            </w:r>
          </w:p>
        </w:tc>
        <w:tc>
          <w:tcPr>
            <w:tcW w:w="822" w:type="dxa"/>
            <w:tcBorders>
              <w:top w:val="nil"/>
              <w:left w:val="nil"/>
              <w:bottom w:val="single" w:color="auto" w:sz="4" w:space="0"/>
              <w:right w:val="single" w:color="auto" w:sz="4" w:space="0"/>
            </w:tcBorders>
            <w:shd w:val="clear" w:color="auto" w:fill="auto"/>
            <w:noWrap/>
            <w:vAlign w:val="center"/>
          </w:tcPr>
          <w:p>
            <w:pPr>
              <w:jc w:val="center"/>
              <w:rPr>
                <w:sz w:val="24"/>
              </w:rPr>
            </w:pPr>
            <w:r>
              <w:t>-112</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4,340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1.88</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0.3</w:t>
            </w:r>
          </w:p>
        </w:tc>
        <w:tc>
          <w:tcPr>
            <w:tcW w:w="766" w:type="dxa"/>
            <w:tcBorders>
              <w:top w:val="nil"/>
              <w:left w:val="nil"/>
              <w:bottom w:val="single" w:color="auto" w:sz="4" w:space="0"/>
              <w:right w:val="single" w:color="auto" w:sz="4" w:space="0"/>
            </w:tcBorders>
            <w:shd w:val="clear" w:color="auto" w:fill="auto"/>
            <w:noWrap/>
            <w:vAlign w:val="center"/>
          </w:tcPr>
          <w:p>
            <w:pPr>
              <w:jc w:val="center"/>
              <w:rPr>
                <w:sz w:val="24"/>
              </w:rPr>
            </w:pPr>
            <w:r>
              <w:t>2.43</w:t>
            </w:r>
          </w:p>
        </w:tc>
        <w:tc>
          <w:tcPr>
            <w:tcW w:w="794" w:type="dxa"/>
            <w:tcBorders>
              <w:top w:val="nil"/>
              <w:left w:val="nil"/>
              <w:bottom w:val="single" w:color="auto" w:sz="4" w:space="0"/>
              <w:right w:val="single" w:color="auto" w:sz="4" w:space="0"/>
            </w:tcBorders>
            <w:shd w:val="clear" w:color="auto" w:fill="auto"/>
            <w:noWrap/>
            <w:vAlign w:val="center"/>
          </w:tcPr>
          <w:p>
            <w:pPr>
              <w:jc w:val="center"/>
              <w:rPr>
                <w:sz w:val="24"/>
              </w:rPr>
            </w:pPr>
            <w:r>
              <w:t>13</w:t>
            </w:r>
          </w:p>
        </w:tc>
        <w:tc>
          <w:tcPr>
            <w:tcW w:w="850" w:type="dxa"/>
            <w:tcBorders>
              <w:top w:val="nil"/>
              <w:left w:val="nil"/>
              <w:bottom w:val="single" w:color="auto" w:sz="4" w:space="0"/>
              <w:right w:val="single" w:color="auto" w:sz="4" w:space="0"/>
            </w:tcBorders>
            <w:shd w:val="clear" w:color="auto" w:fill="auto"/>
            <w:noWrap/>
            <w:vAlign w:val="center"/>
          </w:tcPr>
          <w:p>
            <w:pPr>
              <w:jc w:val="center"/>
              <w:rPr>
                <w:sz w:val="24"/>
              </w:rPr>
            </w:pPr>
            <w:r>
              <w:t>20</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29</w:t>
            </w:r>
          </w:p>
        </w:tc>
        <w:tc>
          <w:tcPr>
            <w:tcW w:w="709" w:type="dxa"/>
            <w:tcBorders>
              <w:top w:val="nil"/>
              <w:left w:val="nil"/>
              <w:bottom w:val="single" w:color="auto" w:sz="4" w:space="0"/>
              <w:right w:val="single" w:color="auto" w:sz="4" w:space="0"/>
            </w:tcBorders>
            <w:shd w:val="clear" w:color="auto" w:fill="auto"/>
            <w:noWrap/>
            <w:vAlign w:val="center"/>
          </w:tcPr>
          <w:p>
            <w:pPr>
              <w:jc w:val="center"/>
              <w:rPr>
                <w:sz w:val="24"/>
              </w:rPr>
            </w:pPr>
            <w:r>
              <w:t>35</w:t>
            </w:r>
          </w:p>
        </w:tc>
        <w:tc>
          <w:tcPr>
            <w:tcW w:w="708" w:type="dxa"/>
            <w:tcBorders>
              <w:top w:val="nil"/>
              <w:left w:val="nil"/>
              <w:bottom w:val="single" w:color="auto" w:sz="4" w:space="0"/>
              <w:right w:val="single" w:color="auto" w:sz="4" w:space="0"/>
            </w:tcBorders>
            <w:shd w:val="clear" w:color="auto" w:fill="auto"/>
            <w:noWrap/>
            <w:vAlign w:val="center"/>
          </w:tcPr>
          <w:p>
            <w:pPr>
              <w:jc w:val="center"/>
              <w:rPr>
                <w:color w:val="000000"/>
                <w:sz w:val="24"/>
              </w:rPr>
            </w:pPr>
            <w:r>
              <w:rPr>
                <w:color w:val="000000"/>
              </w:rPr>
              <w:t>18</w:t>
            </w:r>
          </w:p>
        </w:tc>
      </w:tr>
    </w:tbl>
    <w:p>
      <w:pPr>
        <w:spacing w:line="480" w:lineRule="exact"/>
        <w:rPr>
          <w:rFonts w:eastAsia="黑体"/>
          <w:bCs/>
          <w:sz w:val="28"/>
          <w:szCs w:val="28"/>
        </w:rPr>
      </w:pPr>
      <w:r>
        <w:rPr>
          <w:rFonts w:eastAsia="黑体"/>
          <w:bCs/>
          <w:sz w:val="28"/>
          <w:szCs w:val="28"/>
        </w:rPr>
        <w:t>3、设计与预报围岩分级对照</w:t>
      </w:r>
    </w:p>
    <w:p>
      <w:pPr>
        <w:spacing w:line="360" w:lineRule="auto"/>
        <w:ind w:firstLine="480" w:firstLineChars="200"/>
        <w:rPr>
          <w:sz w:val="24"/>
        </w:rPr>
      </w:pPr>
      <w:r>
        <w:rPr>
          <w:sz w:val="24"/>
        </w:rPr>
        <w:t>表4为围岩分级对照表，综合TSP法探测和地质调查结果，对隧道里程为K0+243～K0+123段，分段进行解释，并与设计资料相对比。</w:t>
      </w:r>
    </w:p>
    <w:p>
      <w:pPr>
        <w:spacing w:line="360" w:lineRule="auto"/>
        <w:ind w:right="480"/>
        <w:rPr>
          <w:b/>
          <w:sz w:val="30"/>
          <w:szCs w:val="30"/>
        </w:rPr>
      </w:pPr>
      <w:r>
        <w:rPr>
          <w:sz w:val="24"/>
        </w:rPr>
        <w:t>（本页以下内容为空白）</w:t>
      </w: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 xml:space="preserve">表4  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098"/>
        <w:gridCol w:w="1198"/>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098"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233"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098" w:type="dxa"/>
            <w:vMerge w:val="continue"/>
            <w:noWrap w:val="0"/>
            <w:vAlign w:val="center"/>
          </w:tcPr>
          <w:p>
            <w:pPr>
              <w:jc w:val="center"/>
              <w:rPr>
                <w:szCs w:val="21"/>
              </w:rPr>
            </w:pPr>
          </w:p>
        </w:tc>
        <w:tc>
          <w:tcPr>
            <w:tcW w:w="1198"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829" w:hRule="atLeast"/>
          <w:jc w:val="center"/>
        </w:trPr>
        <w:tc>
          <w:tcPr>
            <w:tcW w:w="1281" w:type="dxa"/>
            <w:vMerge w:val="restart"/>
            <w:noWrap w:val="0"/>
            <w:textDirection w:val="tbRlV"/>
            <w:vAlign w:val="center"/>
          </w:tcPr>
          <w:p>
            <w:pPr>
              <w:ind w:left="113" w:right="113"/>
              <w:jc w:val="center"/>
              <w:rPr>
                <w:szCs w:val="21"/>
              </w:rPr>
            </w:pPr>
            <w:r>
              <w:rPr>
                <w:szCs w:val="21"/>
              </w:rPr>
              <w:t>K0+243～K0+123</w:t>
            </w:r>
          </w:p>
        </w:tc>
        <w:tc>
          <w:tcPr>
            <w:tcW w:w="585" w:type="dxa"/>
            <w:noWrap w:val="0"/>
            <w:textDirection w:val="tbRlV"/>
            <w:vAlign w:val="center"/>
          </w:tcPr>
          <w:p>
            <w:pPr>
              <w:jc w:val="center"/>
              <w:rPr>
                <w:szCs w:val="21"/>
              </w:rPr>
            </w:pPr>
            <w:r>
              <w:rPr>
                <w:szCs w:val="21"/>
              </w:rPr>
              <w:t>石灰岩、粉砂岩</w:t>
            </w:r>
          </w:p>
        </w:tc>
        <w:tc>
          <w:tcPr>
            <w:tcW w:w="596" w:type="dxa"/>
            <w:noWrap w:val="0"/>
            <w:vAlign w:val="center"/>
          </w:tcPr>
          <w:p>
            <w:pPr>
              <w:jc w:val="center"/>
              <w:rPr>
                <w:szCs w:val="21"/>
              </w:rPr>
            </w:pPr>
            <w:r>
              <w:rPr>
                <w:szCs w:val="21"/>
              </w:rPr>
              <w:t>Ⅳ级</w:t>
            </w:r>
          </w:p>
        </w:tc>
        <w:tc>
          <w:tcPr>
            <w:tcW w:w="1098" w:type="dxa"/>
            <w:noWrap w:val="0"/>
            <w:textDirection w:val="tbRlV"/>
            <w:vAlign w:val="center"/>
          </w:tcPr>
          <w:p>
            <w:pPr>
              <w:ind w:left="113" w:right="113"/>
              <w:jc w:val="center"/>
              <w:rPr>
                <w:szCs w:val="21"/>
              </w:rPr>
            </w:pPr>
            <w:r>
              <w:rPr>
                <w:szCs w:val="21"/>
              </w:rPr>
              <w:t>K0+243～K0+198</w:t>
            </w:r>
          </w:p>
        </w:tc>
        <w:tc>
          <w:tcPr>
            <w:tcW w:w="1198" w:type="dxa"/>
            <w:noWrap w:val="0"/>
            <w:textDirection w:val="tbRlV"/>
            <w:vAlign w:val="center"/>
          </w:tcPr>
          <w:p>
            <w:pPr>
              <w:ind w:left="113" w:right="113"/>
              <w:jc w:val="center"/>
              <w:rPr>
                <w:szCs w:val="21"/>
              </w:rPr>
            </w:pPr>
            <w:r>
              <w:rPr>
                <w:szCs w:val="21"/>
              </w:rPr>
              <w:t>3731～4125</w:t>
            </w:r>
          </w:p>
        </w:tc>
        <w:tc>
          <w:tcPr>
            <w:tcW w:w="6164" w:type="dxa"/>
            <w:noWrap w:val="0"/>
            <w:vAlign w:val="center"/>
          </w:tcPr>
          <w:p>
            <w:pPr>
              <w:ind w:firstLine="420" w:firstLineChars="200"/>
              <w:rPr>
                <w:szCs w:val="21"/>
              </w:rPr>
            </w:pPr>
            <w:r>
              <w:rPr>
                <w:szCs w:val="21"/>
              </w:rPr>
              <w:t>围岩为粉砂岩、石灰岩，岩质较坚硬；中厚层状结构，局部裂隙块状结构；节理裂隙较发育，岩体较破碎；局部破碎，含基岩裂隙水，呈点滴状出水，岩体自稳能力较差。</w:t>
            </w:r>
          </w:p>
        </w:tc>
        <w:tc>
          <w:tcPr>
            <w:tcW w:w="1871" w:type="dxa"/>
            <w:noWrap w:val="0"/>
            <w:vAlign w:val="center"/>
          </w:tcPr>
          <w:p>
            <w:pPr>
              <w:rPr>
                <w:szCs w:val="21"/>
              </w:rPr>
            </w:pPr>
            <w:r>
              <w:rPr>
                <w:szCs w:val="21"/>
              </w:rPr>
              <w:t xml:space="preserve">岩体中厚层状结构，局部裂隙块状结构，岩体较破碎。 </w:t>
            </w:r>
          </w:p>
        </w:tc>
        <w:tc>
          <w:tcPr>
            <w:tcW w:w="1355" w:type="dxa"/>
            <w:noWrap w:val="0"/>
            <w:vAlign w:val="center"/>
          </w:tcPr>
          <w:p>
            <w:pPr>
              <w:jc w:val="left"/>
              <w:rPr>
                <w:szCs w:val="21"/>
              </w:rPr>
            </w:pPr>
            <w:r>
              <w:rPr>
                <w:szCs w:val="21"/>
              </w:rPr>
              <w:t>围岩局部易发生掉块。</w:t>
            </w:r>
          </w:p>
        </w:tc>
        <w:tc>
          <w:tcPr>
            <w:tcW w:w="736" w:type="dxa"/>
            <w:noWrap w:val="0"/>
            <w:vAlign w:val="center"/>
          </w:tcPr>
          <w:p>
            <w:pPr>
              <w:jc w:val="center"/>
            </w:pPr>
            <w:r>
              <w:rPr>
                <w:szCs w:val="21"/>
              </w:rPr>
              <w:t>Ⅳ级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269" w:hRule="atLeast"/>
          <w:jc w:val="center"/>
        </w:trPr>
        <w:tc>
          <w:tcPr>
            <w:tcW w:w="1281" w:type="dxa"/>
            <w:vMerge w:val="continue"/>
            <w:noWrap w:val="0"/>
            <w:textDirection w:val="tbRlV"/>
            <w:vAlign w:val="center"/>
          </w:tcPr>
          <w:p>
            <w:pPr>
              <w:ind w:left="113" w:right="113"/>
              <w:jc w:val="center"/>
              <w:rPr>
                <w:szCs w:val="21"/>
              </w:rPr>
            </w:pPr>
          </w:p>
        </w:tc>
        <w:tc>
          <w:tcPr>
            <w:tcW w:w="585" w:type="dxa"/>
            <w:noWrap w:val="0"/>
            <w:textDirection w:val="tbRlV"/>
            <w:vAlign w:val="center"/>
          </w:tcPr>
          <w:p>
            <w:pPr>
              <w:jc w:val="center"/>
              <w:rPr>
                <w:szCs w:val="21"/>
              </w:rPr>
            </w:pPr>
            <w:r>
              <w:rPr>
                <w:szCs w:val="21"/>
              </w:rPr>
              <w:t>石灰岩、粉砂岩</w:t>
            </w:r>
          </w:p>
        </w:tc>
        <w:tc>
          <w:tcPr>
            <w:tcW w:w="596" w:type="dxa"/>
            <w:noWrap w:val="0"/>
            <w:vAlign w:val="center"/>
          </w:tcPr>
          <w:p>
            <w:pPr>
              <w:jc w:val="center"/>
              <w:rPr>
                <w:szCs w:val="21"/>
              </w:rPr>
            </w:pPr>
            <w:r>
              <w:rPr>
                <w:szCs w:val="21"/>
              </w:rPr>
              <w:t>Ⅳ级</w:t>
            </w:r>
          </w:p>
        </w:tc>
        <w:tc>
          <w:tcPr>
            <w:tcW w:w="1098" w:type="dxa"/>
            <w:noWrap w:val="0"/>
            <w:textDirection w:val="tbRlV"/>
            <w:vAlign w:val="center"/>
          </w:tcPr>
          <w:p>
            <w:pPr>
              <w:ind w:left="113" w:right="113"/>
              <w:jc w:val="center"/>
              <w:rPr>
                <w:szCs w:val="21"/>
              </w:rPr>
            </w:pPr>
            <w:r>
              <w:rPr>
                <w:szCs w:val="21"/>
              </w:rPr>
              <w:t>K0+198～K0+160</w:t>
            </w:r>
          </w:p>
        </w:tc>
        <w:tc>
          <w:tcPr>
            <w:tcW w:w="1198" w:type="dxa"/>
            <w:noWrap w:val="0"/>
            <w:textDirection w:val="tbRlV"/>
            <w:vAlign w:val="center"/>
          </w:tcPr>
          <w:p>
            <w:pPr>
              <w:ind w:left="113" w:right="113"/>
              <w:jc w:val="center"/>
              <w:rPr>
                <w:szCs w:val="21"/>
              </w:rPr>
            </w:pPr>
            <w:r>
              <w:rPr>
                <w:szCs w:val="21"/>
              </w:rPr>
              <w:t>3573～4017</w:t>
            </w:r>
          </w:p>
        </w:tc>
        <w:tc>
          <w:tcPr>
            <w:tcW w:w="6164" w:type="dxa"/>
            <w:noWrap w:val="0"/>
            <w:vAlign w:val="center"/>
          </w:tcPr>
          <w:p>
            <w:pPr>
              <w:ind w:firstLine="420" w:firstLineChars="200"/>
              <w:rPr>
                <w:szCs w:val="21"/>
              </w:rPr>
            </w:pPr>
            <w:r>
              <w:rPr>
                <w:szCs w:val="21"/>
              </w:rPr>
              <w:t>围岩为粉砂岩、石灰岩，岩质较坚硬；中厚层状～裂隙块状结构；节理裂隙较发育，岩体较破碎～破碎，地下水发育，呈点滴状出水～淋雨状出水，岩体自稳能力较差。提请施工时须特别注意K0+198～K0+180段围岩，该段围岩破碎，夹软弱夹层，掌子面易坍塌，地下水发育，围岩呈裂隙块状结构，围岩自稳能力差。提请本段施工时须及时施作初期支护，尽早成环，以保证隧道围岩和支护结构的整体稳定。</w:t>
            </w:r>
          </w:p>
        </w:tc>
        <w:tc>
          <w:tcPr>
            <w:tcW w:w="1871" w:type="dxa"/>
            <w:noWrap w:val="0"/>
            <w:vAlign w:val="center"/>
          </w:tcPr>
          <w:p>
            <w:pPr>
              <w:rPr>
                <w:szCs w:val="21"/>
              </w:rPr>
            </w:pPr>
            <w:r>
              <w:rPr>
                <w:szCs w:val="21"/>
              </w:rPr>
              <w:t>岩体中厚层状～裂隙块状结构，岩体较破碎。</w:t>
            </w:r>
          </w:p>
        </w:tc>
        <w:tc>
          <w:tcPr>
            <w:tcW w:w="1355" w:type="dxa"/>
            <w:noWrap w:val="0"/>
            <w:vAlign w:val="center"/>
          </w:tcPr>
          <w:p>
            <w:pPr>
              <w:jc w:val="left"/>
              <w:rPr>
                <w:szCs w:val="21"/>
              </w:rPr>
            </w:pPr>
            <w:r>
              <w:rPr>
                <w:szCs w:val="21"/>
              </w:rPr>
              <w:t>围岩局部易发生掉块甚至坍塌</w:t>
            </w:r>
          </w:p>
        </w:tc>
        <w:tc>
          <w:tcPr>
            <w:tcW w:w="736" w:type="dxa"/>
            <w:noWrap w:val="0"/>
            <w:vAlign w:val="center"/>
          </w:tcPr>
          <w:p>
            <w:pPr>
              <w:jc w:val="center"/>
            </w:pPr>
            <w:r>
              <w:rPr>
                <w:szCs w:val="21"/>
              </w:rPr>
              <w:t>V级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256" w:hRule="atLeast"/>
          <w:jc w:val="center"/>
        </w:trPr>
        <w:tc>
          <w:tcPr>
            <w:tcW w:w="1281" w:type="dxa"/>
            <w:vMerge w:val="continue"/>
            <w:noWrap w:val="0"/>
            <w:textDirection w:val="tbRlV"/>
            <w:vAlign w:val="center"/>
          </w:tcPr>
          <w:p>
            <w:pPr>
              <w:ind w:left="113" w:right="113"/>
              <w:jc w:val="center"/>
              <w:rPr>
                <w:szCs w:val="21"/>
              </w:rPr>
            </w:pPr>
          </w:p>
        </w:tc>
        <w:tc>
          <w:tcPr>
            <w:tcW w:w="585" w:type="dxa"/>
            <w:noWrap w:val="0"/>
            <w:textDirection w:val="tbRlV"/>
            <w:vAlign w:val="center"/>
          </w:tcPr>
          <w:p>
            <w:pPr>
              <w:jc w:val="center"/>
              <w:rPr>
                <w:szCs w:val="21"/>
              </w:rPr>
            </w:pPr>
            <w:r>
              <w:rPr>
                <w:szCs w:val="21"/>
              </w:rPr>
              <w:t>石灰岩、粉砂岩</w:t>
            </w:r>
          </w:p>
        </w:tc>
        <w:tc>
          <w:tcPr>
            <w:tcW w:w="596" w:type="dxa"/>
            <w:noWrap w:val="0"/>
            <w:vAlign w:val="center"/>
          </w:tcPr>
          <w:p>
            <w:pPr>
              <w:jc w:val="center"/>
              <w:rPr>
                <w:szCs w:val="21"/>
              </w:rPr>
            </w:pPr>
            <w:r>
              <w:rPr>
                <w:szCs w:val="21"/>
              </w:rPr>
              <w:t>Ⅳ级</w:t>
            </w:r>
          </w:p>
        </w:tc>
        <w:tc>
          <w:tcPr>
            <w:tcW w:w="1098" w:type="dxa"/>
            <w:noWrap w:val="0"/>
            <w:textDirection w:val="tbRlV"/>
            <w:vAlign w:val="center"/>
          </w:tcPr>
          <w:p>
            <w:pPr>
              <w:ind w:left="113" w:right="113"/>
              <w:jc w:val="center"/>
              <w:rPr>
                <w:szCs w:val="21"/>
              </w:rPr>
            </w:pPr>
            <w:r>
              <w:rPr>
                <w:szCs w:val="21"/>
              </w:rPr>
              <w:t>K0+160～K0+123</w:t>
            </w:r>
          </w:p>
        </w:tc>
        <w:tc>
          <w:tcPr>
            <w:tcW w:w="1198" w:type="dxa"/>
            <w:noWrap w:val="0"/>
            <w:textDirection w:val="tbRlV"/>
            <w:vAlign w:val="center"/>
          </w:tcPr>
          <w:p>
            <w:pPr>
              <w:ind w:left="113" w:right="113"/>
              <w:jc w:val="center"/>
              <w:rPr>
                <w:szCs w:val="21"/>
              </w:rPr>
            </w:pPr>
            <w:r>
              <w:rPr>
                <w:szCs w:val="21"/>
              </w:rPr>
              <w:t>4205～4808</w:t>
            </w:r>
          </w:p>
        </w:tc>
        <w:tc>
          <w:tcPr>
            <w:tcW w:w="6164" w:type="dxa"/>
            <w:noWrap w:val="0"/>
            <w:vAlign w:val="center"/>
          </w:tcPr>
          <w:p>
            <w:pPr>
              <w:ind w:firstLine="420" w:firstLineChars="200"/>
              <w:rPr>
                <w:szCs w:val="21"/>
              </w:rPr>
            </w:pPr>
            <w:r>
              <w:rPr>
                <w:szCs w:val="21"/>
              </w:rPr>
              <w:t>围岩为粉砂岩、石灰岩，岩质较坚硬；中厚层状结构，局部裂隙块状结构；节理裂隙较发育，岩体较破碎；局部破碎，含基岩裂隙水，呈点滴状出水，岩体自稳能力较差。</w:t>
            </w:r>
          </w:p>
        </w:tc>
        <w:tc>
          <w:tcPr>
            <w:tcW w:w="1871" w:type="dxa"/>
            <w:noWrap w:val="0"/>
            <w:vAlign w:val="center"/>
          </w:tcPr>
          <w:p>
            <w:pPr>
              <w:rPr>
                <w:szCs w:val="21"/>
              </w:rPr>
            </w:pPr>
            <w:r>
              <w:rPr>
                <w:szCs w:val="21"/>
              </w:rPr>
              <w:t xml:space="preserve">岩体中厚层状结构，局部裂隙块状结构，岩体较破碎。 </w:t>
            </w:r>
          </w:p>
        </w:tc>
        <w:tc>
          <w:tcPr>
            <w:tcW w:w="1355" w:type="dxa"/>
            <w:noWrap w:val="0"/>
            <w:vAlign w:val="center"/>
          </w:tcPr>
          <w:p>
            <w:pPr>
              <w:jc w:val="left"/>
              <w:rPr>
                <w:szCs w:val="21"/>
              </w:rPr>
            </w:pPr>
            <w:r>
              <w:rPr>
                <w:szCs w:val="21"/>
              </w:rPr>
              <w:t>围岩局部易发生掉块。</w:t>
            </w:r>
          </w:p>
        </w:tc>
        <w:tc>
          <w:tcPr>
            <w:tcW w:w="736" w:type="dxa"/>
            <w:noWrap w:val="0"/>
            <w:vAlign w:val="center"/>
          </w:tcPr>
          <w:p>
            <w:pPr>
              <w:jc w:val="center"/>
            </w:pPr>
            <w:r>
              <w:rPr>
                <w:szCs w:val="21"/>
              </w:rPr>
              <w:t>Ⅳ级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eastAsia="黑体"/>
          <w:sz w:val="30"/>
          <w:szCs w:val="30"/>
        </w:rPr>
        <w:t>8  结论及建议</w:t>
      </w:r>
      <w:bookmarkEnd w:id="41"/>
    </w:p>
    <w:p>
      <w:pPr>
        <w:spacing w:line="360" w:lineRule="auto"/>
        <w:ind w:firstLine="480" w:firstLineChars="200"/>
        <w:rPr>
          <w:sz w:val="24"/>
        </w:rPr>
      </w:pPr>
      <w:r>
        <w:rPr>
          <w:sz w:val="24"/>
        </w:rPr>
        <w:t>本次预报时掌子面里程为：K0+243，预报里程范围为K0+243～K0+123段(即预报隧道掌子面前方120m)。</w:t>
      </w:r>
    </w:p>
    <w:p>
      <w:pPr>
        <w:spacing w:line="360" w:lineRule="auto"/>
        <w:ind w:firstLine="480" w:firstLineChars="200"/>
        <w:rPr>
          <w:szCs w:val="21"/>
        </w:rPr>
      </w:pPr>
      <w:r>
        <w:rPr>
          <w:sz w:val="24"/>
        </w:rPr>
        <w:t>（1）K0+243～K0+198段：长约45m，围岩为粉砂岩、石灰岩，岩质较坚硬；中厚层状结构，局部裂隙块状结构；节理裂隙较发育，岩体较破碎；局部破碎，含基岩裂隙水，呈点滴状出水，岩体自稳能力较差，推测围岩等级为</w:t>
      </w:r>
      <w:r>
        <w:rPr>
          <w:szCs w:val="21"/>
        </w:rPr>
        <w:t>Ⅳ级。</w:t>
      </w:r>
    </w:p>
    <w:p>
      <w:pPr>
        <w:spacing w:line="360" w:lineRule="auto"/>
        <w:ind w:firstLine="480" w:firstLineChars="200"/>
        <w:rPr>
          <w:szCs w:val="21"/>
        </w:rPr>
      </w:pPr>
      <w:r>
        <w:rPr>
          <w:sz w:val="24"/>
        </w:rPr>
        <w:t>（2）K0+198～K0+160段：长约38m，围岩为粉砂岩、石灰岩，岩质较坚硬；中厚层状～裂隙块状结构；节理裂隙较发育，岩体较破碎～破碎，地下水发育，呈点滴状出水～淋雨状出水，岩体自稳能力较差。提请施工时须特别注意K0+198～K0+180段围岩，该段围岩破碎，夹软弱夹层，掌子面易坍塌，地下水发育，围岩呈裂隙块状结构，围岩自稳能力差。提请本段施工时须及时施作初期支护，尽早成环，以保证隧道围岩和支护结构的整体稳定。推测围岩等级为</w:t>
      </w:r>
      <w:r>
        <w:rPr>
          <w:szCs w:val="21"/>
        </w:rPr>
        <w:t>V级。</w:t>
      </w:r>
    </w:p>
    <w:p>
      <w:pPr>
        <w:spacing w:line="360" w:lineRule="auto"/>
        <w:ind w:firstLine="480" w:firstLineChars="200"/>
        <w:rPr>
          <w:sz w:val="24"/>
        </w:rPr>
      </w:pPr>
      <w:r>
        <w:rPr>
          <w:sz w:val="24"/>
        </w:rPr>
        <w:t>（3）K0+160～K0+123段：长约37m，围岩为粉砂岩、石灰岩，岩质较坚硬；中厚层状结构，局部裂隙块状结构；节理裂隙较发育，岩体较破碎；局部破碎，含基岩裂隙水，呈点滴状出水，岩体自稳能力较差，推测围岩等级为Ⅳ级。</w:t>
      </w:r>
    </w:p>
    <w:p>
      <w:pPr>
        <w:spacing w:line="360" w:lineRule="auto"/>
        <w:ind w:firstLine="480" w:firstLineChars="200"/>
        <w:rPr>
          <w:sz w:val="24"/>
        </w:rPr>
      </w:pPr>
      <w:r>
        <w:rPr>
          <w:sz w:val="24"/>
        </w:rPr>
        <w:t>施工建议：</w:t>
      </w:r>
    </w:p>
    <w:p>
      <w:pPr>
        <w:spacing w:line="360" w:lineRule="auto"/>
        <w:ind w:firstLine="480" w:firstLineChars="200"/>
        <w:rPr>
          <w:sz w:val="24"/>
        </w:rPr>
      </w:pPr>
      <w:r>
        <w:rPr>
          <w:sz w:val="24"/>
        </w:rPr>
        <w:t>（1）采取与隧道围岩级别一致的开挖方式。</w:t>
      </w:r>
    </w:p>
    <w:p>
      <w:pPr>
        <w:spacing w:line="360" w:lineRule="auto"/>
        <w:ind w:firstLine="480" w:firstLineChars="200"/>
        <w:rPr>
          <w:sz w:val="24"/>
        </w:rPr>
      </w:pPr>
      <w:r>
        <w:rPr>
          <w:sz w:val="24"/>
        </w:rPr>
        <w:t>（2）物探异常区段K0+198～K0+180段围岩。该段围岩破碎，夹软弱夹层，掌子面易坍塌，地下水发育，围岩呈裂隙块状结构，围岩自稳能力差。异常区段资料收集须重点关注构造痕迹、风化程度及地下水的变化，及时反馈分析。</w:t>
      </w:r>
    </w:p>
    <w:p>
      <w:pPr>
        <w:spacing w:line="360" w:lineRule="auto"/>
        <w:ind w:firstLine="480" w:firstLineChars="200"/>
        <w:rPr>
          <w:sz w:val="24"/>
        </w:rPr>
      </w:pPr>
      <w:r>
        <w:rPr>
          <w:sz w:val="24"/>
        </w:rPr>
        <w:t>（3）严格执行设计文件和现行相关标准、规范、规程的相关规定，短进尺、弱爆破、早封闭</w:t>
      </w:r>
      <w:r>
        <w:rPr>
          <w:b/>
          <w:sz w:val="24"/>
        </w:rPr>
        <w:t>，</w:t>
      </w:r>
      <w:r>
        <w:rPr>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5</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5</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5</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647D"/>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D34"/>
    <w:rsid w:val="000C2E32"/>
    <w:rsid w:val="000C5CD5"/>
    <w:rsid w:val="000C6F1D"/>
    <w:rsid w:val="000C78ED"/>
    <w:rsid w:val="000C7CBB"/>
    <w:rsid w:val="000C7F07"/>
    <w:rsid w:val="000D3FA3"/>
    <w:rsid w:val="000D42B1"/>
    <w:rsid w:val="000D4321"/>
    <w:rsid w:val="000D480B"/>
    <w:rsid w:val="000D5296"/>
    <w:rsid w:val="000D5360"/>
    <w:rsid w:val="000E198F"/>
    <w:rsid w:val="000E2680"/>
    <w:rsid w:val="000E2E8E"/>
    <w:rsid w:val="000E2E92"/>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17655"/>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1742"/>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1549"/>
    <w:rsid w:val="001E2C75"/>
    <w:rsid w:val="001E3924"/>
    <w:rsid w:val="001E3B8E"/>
    <w:rsid w:val="001E4D71"/>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57E"/>
    <w:rsid w:val="0021279C"/>
    <w:rsid w:val="0021422C"/>
    <w:rsid w:val="00214554"/>
    <w:rsid w:val="002155E5"/>
    <w:rsid w:val="00215AAB"/>
    <w:rsid w:val="0021608D"/>
    <w:rsid w:val="00217B26"/>
    <w:rsid w:val="00217F4F"/>
    <w:rsid w:val="00221D00"/>
    <w:rsid w:val="00221D3E"/>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D7D9C"/>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8A"/>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66A6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66A3F"/>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D6D"/>
    <w:rsid w:val="004F5BB0"/>
    <w:rsid w:val="0050014A"/>
    <w:rsid w:val="00501378"/>
    <w:rsid w:val="00501FA3"/>
    <w:rsid w:val="00501FD1"/>
    <w:rsid w:val="0050215D"/>
    <w:rsid w:val="00502455"/>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35ECD"/>
    <w:rsid w:val="00540E15"/>
    <w:rsid w:val="005413A5"/>
    <w:rsid w:val="00541810"/>
    <w:rsid w:val="00541AA6"/>
    <w:rsid w:val="005440A8"/>
    <w:rsid w:val="00546B32"/>
    <w:rsid w:val="00547C7E"/>
    <w:rsid w:val="00547F74"/>
    <w:rsid w:val="00550DE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26DC8"/>
    <w:rsid w:val="00631F31"/>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18A0"/>
    <w:rsid w:val="00673330"/>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A730D"/>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423"/>
    <w:rsid w:val="006E1F57"/>
    <w:rsid w:val="006E535F"/>
    <w:rsid w:val="006E58DA"/>
    <w:rsid w:val="006E5EBA"/>
    <w:rsid w:val="006E6C9E"/>
    <w:rsid w:val="006F1931"/>
    <w:rsid w:val="006F2F2E"/>
    <w:rsid w:val="006F386C"/>
    <w:rsid w:val="0070038E"/>
    <w:rsid w:val="00701887"/>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26076"/>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188"/>
    <w:rsid w:val="00747D6A"/>
    <w:rsid w:val="00754AF2"/>
    <w:rsid w:val="007570BE"/>
    <w:rsid w:val="007612E4"/>
    <w:rsid w:val="0076181E"/>
    <w:rsid w:val="00762B1B"/>
    <w:rsid w:val="00763A6A"/>
    <w:rsid w:val="00763F63"/>
    <w:rsid w:val="00766009"/>
    <w:rsid w:val="007663E0"/>
    <w:rsid w:val="007664D4"/>
    <w:rsid w:val="007704D0"/>
    <w:rsid w:val="007715D7"/>
    <w:rsid w:val="00772018"/>
    <w:rsid w:val="0077519D"/>
    <w:rsid w:val="00777990"/>
    <w:rsid w:val="00780367"/>
    <w:rsid w:val="00781863"/>
    <w:rsid w:val="00783061"/>
    <w:rsid w:val="0078365A"/>
    <w:rsid w:val="0078430A"/>
    <w:rsid w:val="00784887"/>
    <w:rsid w:val="00784F76"/>
    <w:rsid w:val="007852EC"/>
    <w:rsid w:val="00786058"/>
    <w:rsid w:val="00786D53"/>
    <w:rsid w:val="0079213A"/>
    <w:rsid w:val="00793398"/>
    <w:rsid w:val="00796272"/>
    <w:rsid w:val="007A2DF7"/>
    <w:rsid w:val="007A368B"/>
    <w:rsid w:val="007A439F"/>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C27"/>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1B03"/>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0464"/>
    <w:rsid w:val="00921A87"/>
    <w:rsid w:val="00923442"/>
    <w:rsid w:val="009245FA"/>
    <w:rsid w:val="009248F5"/>
    <w:rsid w:val="00924DDC"/>
    <w:rsid w:val="00926C7B"/>
    <w:rsid w:val="009276EE"/>
    <w:rsid w:val="009322EC"/>
    <w:rsid w:val="00932A9A"/>
    <w:rsid w:val="009330F5"/>
    <w:rsid w:val="00934198"/>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5F18"/>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0E8"/>
    <w:rsid w:val="009D7495"/>
    <w:rsid w:val="009D75C9"/>
    <w:rsid w:val="009E2A93"/>
    <w:rsid w:val="009E36AD"/>
    <w:rsid w:val="009E48C8"/>
    <w:rsid w:val="009E4DE0"/>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198"/>
    <w:rsid w:val="00A34D50"/>
    <w:rsid w:val="00A423C0"/>
    <w:rsid w:val="00A4410A"/>
    <w:rsid w:val="00A45B5A"/>
    <w:rsid w:val="00A46572"/>
    <w:rsid w:val="00A4733B"/>
    <w:rsid w:val="00A47FAD"/>
    <w:rsid w:val="00A50D9F"/>
    <w:rsid w:val="00A5130A"/>
    <w:rsid w:val="00A537F9"/>
    <w:rsid w:val="00A5612E"/>
    <w:rsid w:val="00A5646F"/>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11BA"/>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47F38"/>
    <w:rsid w:val="00B506BE"/>
    <w:rsid w:val="00B5194D"/>
    <w:rsid w:val="00B519C5"/>
    <w:rsid w:val="00B51C57"/>
    <w:rsid w:val="00B533F8"/>
    <w:rsid w:val="00B5399E"/>
    <w:rsid w:val="00B54040"/>
    <w:rsid w:val="00B54FDF"/>
    <w:rsid w:val="00B5552D"/>
    <w:rsid w:val="00B577EA"/>
    <w:rsid w:val="00B57D71"/>
    <w:rsid w:val="00B6156B"/>
    <w:rsid w:val="00B619E7"/>
    <w:rsid w:val="00B638AA"/>
    <w:rsid w:val="00B64FA0"/>
    <w:rsid w:val="00B72443"/>
    <w:rsid w:val="00B72E4F"/>
    <w:rsid w:val="00B7744E"/>
    <w:rsid w:val="00B7749F"/>
    <w:rsid w:val="00B808AB"/>
    <w:rsid w:val="00B82410"/>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1DCF"/>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10D"/>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AEB"/>
    <w:rsid w:val="00E50E69"/>
    <w:rsid w:val="00E50F8C"/>
    <w:rsid w:val="00E510B2"/>
    <w:rsid w:val="00E52964"/>
    <w:rsid w:val="00E53331"/>
    <w:rsid w:val="00E53A2E"/>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3199"/>
    <w:rsid w:val="00EB3539"/>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89C"/>
    <w:rsid w:val="00F00C1E"/>
    <w:rsid w:val="00F0199C"/>
    <w:rsid w:val="00F028C6"/>
    <w:rsid w:val="00F035EA"/>
    <w:rsid w:val="00F06FC3"/>
    <w:rsid w:val="00F076A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311"/>
    <w:rsid w:val="00F26AC2"/>
    <w:rsid w:val="00F27B80"/>
    <w:rsid w:val="00F27D39"/>
    <w:rsid w:val="00F300B3"/>
    <w:rsid w:val="00F30391"/>
    <w:rsid w:val="00F3240B"/>
    <w:rsid w:val="00F33494"/>
    <w:rsid w:val="00F34000"/>
    <w:rsid w:val="00F348FB"/>
    <w:rsid w:val="00F34CA1"/>
    <w:rsid w:val="00F36695"/>
    <w:rsid w:val="00F37C21"/>
    <w:rsid w:val="00F40EA0"/>
    <w:rsid w:val="00F41E90"/>
    <w:rsid w:val="00F4520E"/>
    <w:rsid w:val="00F4522A"/>
    <w:rsid w:val="00F46C9D"/>
    <w:rsid w:val="00F472A7"/>
    <w:rsid w:val="00F47850"/>
    <w:rsid w:val="00F501C7"/>
    <w:rsid w:val="00F523D3"/>
    <w:rsid w:val="00F54D40"/>
    <w:rsid w:val="00F56F10"/>
    <w:rsid w:val="00F60121"/>
    <w:rsid w:val="00F613E2"/>
    <w:rsid w:val="00F61651"/>
    <w:rsid w:val="00F617A2"/>
    <w:rsid w:val="00F62297"/>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2BBD4F20"/>
    <w:rsid w:val="367D0006"/>
    <w:rsid w:val="61310483"/>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1061</Words>
  <Characters>6052</Characters>
  <Lines>50</Lines>
  <Paragraphs>14</Paragraphs>
  <TotalTime>0</TotalTime>
  <ScaleCrop>false</ScaleCrop>
  <LinksUpToDate>false</LinksUpToDate>
  <CharactersWithSpaces>7099</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2018-05-25T16:54:00Z</cp:lastPrinted>
  <dcterms:modified xsi:type="dcterms:W3CDTF">2020-06-29T09:21:01Z</dcterms:modified>
  <dc:title>香德二级公路</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